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FD2B5" w14:textId="671AF800" w:rsidR="00453411" w:rsidRDefault="00453411" w:rsidP="00C0313E">
      <w:pPr>
        <w:tabs>
          <w:tab w:val="left" w:pos="1316"/>
        </w:tabs>
        <w:jc w:val="center"/>
        <w:rPr>
          <w:b/>
          <w:bCs/>
          <w:sz w:val="24"/>
          <w:szCs w:val="24"/>
        </w:rPr>
      </w:pPr>
      <w:r w:rsidRPr="5B9C1430">
        <w:rPr>
          <w:b/>
          <w:bCs/>
          <w:sz w:val="24"/>
          <w:szCs w:val="24"/>
        </w:rPr>
        <w:t xml:space="preserve">Φιλοσοφία </w:t>
      </w:r>
      <w:r w:rsidR="00C0313E">
        <w:rPr>
          <w:b/>
          <w:bCs/>
          <w:sz w:val="24"/>
          <w:szCs w:val="24"/>
        </w:rPr>
        <w:t>–</w:t>
      </w:r>
      <w:r w:rsidRPr="5B9C1430">
        <w:rPr>
          <w:b/>
          <w:bCs/>
          <w:sz w:val="24"/>
          <w:szCs w:val="24"/>
        </w:rPr>
        <w:t xml:space="preserve"> Σκοπιμότητα</w:t>
      </w:r>
    </w:p>
    <w:p w14:paraId="02AD0B5A" w14:textId="77777777" w:rsidR="00C0313E" w:rsidRDefault="00C0313E" w:rsidP="00C0313E">
      <w:pPr>
        <w:tabs>
          <w:tab w:val="left" w:pos="1316"/>
        </w:tabs>
        <w:jc w:val="center"/>
        <w:rPr>
          <w:b/>
          <w:bCs/>
          <w:sz w:val="24"/>
          <w:szCs w:val="24"/>
        </w:rPr>
      </w:pPr>
    </w:p>
    <w:p w14:paraId="08E26E58" w14:textId="77777777" w:rsidR="00C0313E" w:rsidRDefault="00C0313E" w:rsidP="00C0313E">
      <w:pPr>
        <w:spacing w:line="276" w:lineRule="auto"/>
        <w:jc w:val="both"/>
      </w:pPr>
      <w:r>
        <w:t xml:space="preserve">Στα ελληνικά δεδομένα η καταγραφή και η χαρτογράφηση των σχολικών προγραμμάτων και εγχειριδίων που ασχολούνται με τις </w:t>
      </w:r>
      <w:proofErr w:type="spellStart"/>
      <w:r>
        <w:t>έμφυλες</w:t>
      </w:r>
      <w:proofErr w:type="spellEnd"/>
      <w:r>
        <w:t xml:space="preserve"> ταυτότητες, το ζήτημα των </w:t>
      </w:r>
      <w:proofErr w:type="spellStart"/>
      <w:r>
        <w:t>έμφυλων</w:t>
      </w:r>
      <w:proofErr w:type="spellEnd"/>
      <w:r>
        <w:t xml:space="preserve"> σχέσεων, των </w:t>
      </w:r>
      <w:proofErr w:type="spellStart"/>
      <w:r>
        <w:t>έμφυλων</w:t>
      </w:r>
      <w:proofErr w:type="spellEnd"/>
      <w:r>
        <w:t xml:space="preserve"> διακρίσεων και της βίας και της σεξουαλικής εκπαίδευσης παρουσιάζουν κενά -βλέπε και έρευνες ΚΕΘΙ-, δεδομένου ότι οι σχετικές προσπάθειες είχαν πάντοτε έναν αποσπασματικό χαρακτήρα (ΙΕΠ, ΟΔΗΓΟΣ ΓΙΑ ΤΗΝ ΕΝΤΑΞΗ ΤΗΣ ΟΠΤΙΚΗΣ ΤΟΥ ΦΥΛΟΥ ΣΤΑ ΠΡΟΓΡΑΜΜΑΤΑ ΣΠΟΥΔΩΝ ΚΑΙ ΣΤΑ ΔΙΔΑΚΤΙΚΑ ΒΙΒΛΙΑ ΚΑΙ ΥΛΙΚΑ, 2018).</w:t>
      </w:r>
    </w:p>
    <w:p w14:paraId="71AFE308" w14:textId="49661C81" w:rsidR="00C0313E" w:rsidRDefault="00C0313E" w:rsidP="00C0313E">
      <w:pPr>
        <w:spacing w:line="276" w:lineRule="auto"/>
        <w:jc w:val="both"/>
      </w:pPr>
      <w:r>
        <w:t>Υπό αυτό το πρίσμα, η ανάπτυξη του συγκεκριμένου προγράμματος που φέρνει στο προσκήνιο τα ζητήματα των διακρίσεων και της βίας στα ΜΜΕ και την Τέχνη αποτελεί εργαλείο που φιλοδοξεί να συμβάλει στον περιορισμό του φαινομένου, δεδομένου ότι η εκπαίδευση και η ευαισθητοποίηση σε θέματα φύλου (</w:t>
      </w:r>
      <w:proofErr w:type="spellStart"/>
      <w:r>
        <w:t>gender</w:t>
      </w:r>
      <w:proofErr w:type="spellEnd"/>
      <w:r>
        <w:t xml:space="preserve"> </w:t>
      </w:r>
      <w:proofErr w:type="spellStart"/>
      <w:r>
        <w:t>training</w:t>
      </w:r>
      <w:proofErr w:type="spellEnd"/>
      <w:r>
        <w:t>) δεν αποτελεί ζήτημα που αφορά μεμονωμένες ομάδες όπως αυτών που απασχολούνται στα ΜΜΕ και του κοινού (αναγνωστών, θεατών και ακροατών)</w:t>
      </w:r>
      <w:r w:rsidR="00E73DA9">
        <w:t>,</w:t>
      </w:r>
      <w:r>
        <w:t xml:space="preserve"> αλλά θα πρέπει να είναι σημείο αναφοράς και ακρογωνιαίος λίθος κάθε σχολικής λειτουργίας και καθημερινότητας τόσο σε </w:t>
      </w:r>
      <w:proofErr w:type="spellStart"/>
      <w:r>
        <w:t>μακρο</w:t>
      </w:r>
      <w:proofErr w:type="spellEnd"/>
      <w:r>
        <w:t xml:space="preserve">- όσο και σε </w:t>
      </w:r>
      <w:proofErr w:type="spellStart"/>
      <w:r>
        <w:t>μικροεπίπεδο</w:t>
      </w:r>
      <w:proofErr w:type="spellEnd"/>
      <w:r>
        <w:t>.</w:t>
      </w:r>
    </w:p>
    <w:p w14:paraId="03A5AB89" w14:textId="29A246A9" w:rsidR="00C0313E" w:rsidRDefault="00C0313E" w:rsidP="00C0313E">
      <w:pPr>
        <w:spacing w:line="276" w:lineRule="auto"/>
        <w:jc w:val="both"/>
      </w:pPr>
      <w:r>
        <w:t>Ειδικότερα οι συμμετέχοντες/</w:t>
      </w:r>
      <w:proofErr w:type="spellStart"/>
      <w:r>
        <w:t>ουσες</w:t>
      </w:r>
      <w:proofErr w:type="spellEnd"/>
      <w:r>
        <w:t xml:space="preserve"> στην εκπαίδευση θα πρέπει να είναι σε θέση να αναγνωρίζουν τα στερεότυπα λόγω φύλου, να τα </w:t>
      </w:r>
      <w:proofErr w:type="spellStart"/>
      <w:r>
        <w:t>αποδομούν</w:t>
      </w:r>
      <w:proofErr w:type="spellEnd"/>
      <w:r>
        <w:t xml:space="preserve"> και να μην τα αναπαράγουν. Ιδιαίτερη προσοχή πρέπει να δοθεί στην ευαισθητοποίηση των ηλικιακά νεότερων αποδεκτών των μηνυμάτων, διότι αυτοί/</w:t>
      </w:r>
      <w:proofErr w:type="spellStart"/>
      <w:r>
        <w:t>ες</w:t>
      </w:r>
      <w:proofErr w:type="spellEnd"/>
      <w:r>
        <w:t xml:space="preserve"> είναι περισσότερο ευάλωτοι/τες σε πρότυπα και εικόνες που προβάλλουν τα ΜΜΕ, αλλά και πιο δεκτικοί</w:t>
      </w:r>
      <w:r w:rsidR="00E73DA9">
        <w:t>/</w:t>
      </w:r>
      <w:proofErr w:type="spellStart"/>
      <w:r w:rsidR="00E73DA9">
        <w:t>ές</w:t>
      </w:r>
      <w:proofErr w:type="spellEnd"/>
      <w:r>
        <w:t xml:space="preserve"> στην υιοθέτηση των προβαλλόμενων σύγχρονων </w:t>
      </w:r>
      <w:proofErr w:type="spellStart"/>
      <w:r>
        <w:t>έμφυλων</w:t>
      </w:r>
      <w:proofErr w:type="spellEnd"/>
      <w:r>
        <w:t xml:space="preserve"> ρόλων.</w:t>
      </w:r>
    </w:p>
    <w:p w14:paraId="05B2638A" w14:textId="77777777" w:rsidR="00C0313E" w:rsidRDefault="00C0313E" w:rsidP="00C0313E">
      <w:pPr>
        <w:spacing w:line="276" w:lineRule="auto"/>
        <w:jc w:val="both"/>
      </w:pPr>
      <w:r>
        <w:t xml:space="preserve">Όπως σημειώνει η Μ. </w:t>
      </w:r>
      <w:proofErr w:type="spellStart"/>
      <w:r>
        <w:t>Ρεντεντζή</w:t>
      </w:r>
      <w:proofErr w:type="spellEnd"/>
      <w:r>
        <w:t xml:space="preserve"> στην Εισαγωγή του βιβλίου της </w:t>
      </w:r>
      <w:proofErr w:type="spellStart"/>
      <w:r>
        <w:t>Londa</w:t>
      </w:r>
      <w:proofErr w:type="spellEnd"/>
      <w:r>
        <w:t xml:space="preserve"> </w:t>
      </w:r>
      <w:proofErr w:type="spellStart"/>
      <w:r>
        <w:t>Schiebinger</w:t>
      </w:r>
      <w:proofErr w:type="spellEnd"/>
      <w:r>
        <w:t xml:space="preserve"> «Ο νους δεν έχει φύλο;: Οι γυναίκες στις απαρχές της νεωτερικής επιστήμης», «το φύλο εκφράζει κοινωνικές διαφορές, αποτελεί έναν τρόπο σχηματοποίησης της εμπειρίας και αναπαράστασης των ιδεών και είναι ένα σύνολο ιδιοτήτων που σχετίζεται με τις δύο όψεις της ανθρώπινης φύσης. Απηχεί και αναπαριστά το περίπλοκο φαινόμενο της πολλαπλότητας των σχέσεων αρσενικού και θηλυκού, σχέσεων οι οποίες υπόκεινται σε αλλαγές κατά τη διάρκεια της ιστορικής πορείας, λειτουργεί ως όρος ανάλυσης πολιτισμικών δομών και, τέλος, αποτελεί μια σύγχρονη έννοια για την ερμηνεία των φαινομένων του παρελθόντος».</w:t>
      </w:r>
    </w:p>
    <w:p w14:paraId="380E0FF9" w14:textId="56A9D7FD" w:rsidR="00C0313E" w:rsidRDefault="00C0313E" w:rsidP="00C0313E">
      <w:pPr>
        <w:spacing w:line="276" w:lineRule="auto"/>
        <w:jc w:val="both"/>
      </w:pPr>
      <w:r>
        <w:t>Στις σύγχρονες συνθήκες της Παγκοσμιοποίησης και της «Κοινωνίας της Γνώσης» η έκρηξη της επιστήμης και της Τεχνολογίας είναι πραγματικότητα. Ο κοσμοπολιτισμός επιδρά στη διαμόρφωση μιας μαζικής κουλτούρας στην οποία η συμβολή των ΜΜΕ είναι ανυπολόγιστη. Η ανάπτυξη των ΤΠΕ τελειοποίησε τα Μέσα Μαζικής Επικοινωνίας (ΜΜΕ), διευκόλυνε την παγκόσμια επικοινωνία και διαμόρφωσε μια νέα φάση λειτουργίας τους. Η δυνατότητα για άμεση και διαρκή ενημέρωση έχει διευρυνθεί εξαιρετικά και μετουσιώνεται διαρκώς αποκτώντας νέα χαρακτηριστικά και διαστάσεις και υπερβαίνοντας τα καθιερωμένα πεδία δράσης αναφορικά με τα πολιτικά, επιστημονικά και κοινωνικά δρώμενα. Έτσι, τα ΜΜΕ διαδραματίζουν πλέον μη αμφισβητήσιμες συνθήκες και λειτουργίες (</w:t>
      </w:r>
      <w:proofErr w:type="spellStart"/>
      <w:r>
        <w:t>ανα</w:t>
      </w:r>
      <w:proofErr w:type="spellEnd"/>
      <w:r>
        <w:t xml:space="preserve">)παραγωγής απόψεων και αντιλήψεων καθώς και στερεοτύπων και προκαταλήψεων με ρητό, άρρητο ή </w:t>
      </w:r>
      <w:proofErr w:type="spellStart"/>
      <w:r>
        <w:t>υπόρρητο</w:t>
      </w:r>
      <w:proofErr w:type="spellEnd"/>
      <w:r>
        <w:t xml:space="preserve"> τρόπο. Τα στερεότυπα, όμως, αποτελούν τη βαθύτερη αιτία των ανισοτήτων σε βάρος των γυναικών που παραμένουν ακόμη στην κοινωνία. Τα ΜΜΕ ακολουθώντας τους κανόνες της αγοράς και τις πρακτικές της υψηλής ακροαματικότητας και </w:t>
      </w:r>
      <w:proofErr w:type="spellStart"/>
      <w:r>
        <w:t>τηλεθεαματικότητας</w:t>
      </w:r>
      <w:proofErr w:type="spellEnd"/>
      <w:r>
        <w:t xml:space="preserve">, κατά κανόνα, επιβάλλουν τις δικές τους απόψεις, κανόνες, αξίες και </w:t>
      </w:r>
      <w:proofErr w:type="spellStart"/>
      <w:r>
        <w:t>έμφυλα</w:t>
      </w:r>
      <w:proofErr w:type="spellEnd"/>
      <w:r>
        <w:t xml:space="preserve"> πρότυπα, εμφανίζοντας τη γυναίκα ως κατώτερη, το γυναικείο σώμα εμπορευματοποιείται συστηματικά, ενώ παράλληλα αγνοείται ο πλουραλισμός και η ποιότητα.</w:t>
      </w:r>
    </w:p>
    <w:p w14:paraId="526EDB73" w14:textId="4CCFE139" w:rsidR="00C0313E" w:rsidRDefault="00C0313E" w:rsidP="00C0313E">
      <w:pPr>
        <w:spacing w:line="276" w:lineRule="auto"/>
        <w:jc w:val="both"/>
      </w:pPr>
      <w:r>
        <w:t xml:space="preserve">Κατά κανόνα, τα ΜΜΕ αποδίδουν εκ των προτέρων στις γυναίκες ρόλους και χαρακτηριστικά, τα οποία πολλές φορές συνιστούν προσβολή για τις ίδιες και δεν ανταποκρίνονται στους ποικίλους ρόλους που έχουν στη δημόσια </w:t>
      </w:r>
    </w:p>
    <w:p w14:paraId="0E87A6E4" w14:textId="517D777E" w:rsidR="00C0313E" w:rsidRDefault="00C0313E" w:rsidP="00C0313E">
      <w:pPr>
        <w:spacing w:line="276" w:lineRule="auto"/>
        <w:jc w:val="both"/>
      </w:pPr>
      <w:r>
        <w:t xml:space="preserve">και ιδιωτική ζωή. Συγκεκριμένα, οι γυναίκες προβάλλονται ως σεξουαλικά αντικείμενα ή αντικείμενα της ανδρικής επιθυμίας είτε προβάλλονται κυρίως στους παραδοσιακούς ρόλους της συζύγου, μητέρας, ερωμένης, αποσιωπώντας έτσι άλλους ρόλους που έχουν σήμερα οι γυναίκες π.χ. εργαζόμενη, γυναίκα σε θέσεις ευθύνης </w:t>
      </w:r>
      <w:r>
        <w:lastRenderedPageBreak/>
        <w:t>κ</w:t>
      </w:r>
      <w:r w:rsidR="00E73DA9">
        <w:t>.</w:t>
      </w:r>
      <w:r>
        <w:t xml:space="preserve">λπ. Παράλληλα, τα ΜΜΕ, κυρίως στον χώρο της διαφήμισης, δεν διστάζουν να χρησιμοποιήσουν σεξιστικές εκφράσεις ή εικόνες, οι οποίες προβάλλουν τις γυναίκες ως κατώτερες και ως άτομα με λιγότερες και πιο περιορισμένες ικανότητες σε σχέση με τους άνδρες. Αξίζει, επίσης, να αναφερθεί ότι και στις περιπτώσεις προβολής περιστατικών </w:t>
      </w:r>
      <w:proofErr w:type="spellStart"/>
      <w:r>
        <w:t>έμφυλης</w:t>
      </w:r>
      <w:proofErr w:type="spellEnd"/>
      <w:r>
        <w:t xml:space="preserve"> βίας, οι γυναίκες προβάλλονται ως θύματα υπεύθυνα για την </w:t>
      </w:r>
      <w:proofErr w:type="spellStart"/>
      <w:r>
        <w:t>έμφυλη</w:t>
      </w:r>
      <w:proofErr w:type="spellEnd"/>
      <w:r>
        <w:t xml:space="preserve"> βία που υπέστησαν. Με άλλα λόγια, τα ΜΜΕ εξακολουθούν να προβάλλουν αναχρονιστικά πρότυπα γυναικών, παρά την έντονη παρουσία των γυναικών σήμερα σε πλήθος τομέων της δημόσιας και ιδιωτικής ζωής (Σύνδεσμος για τα δικαιώματα της γυναίκας, Οδηγός Καταπολέμησης των Διακρίσεων λόγω φύλου στα ΜΜΕ, 2015).</w:t>
      </w:r>
    </w:p>
    <w:p w14:paraId="051A2DBB" w14:textId="77777777" w:rsidR="00C0313E" w:rsidRDefault="00C0313E" w:rsidP="00C0313E">
      <w:pPr>
        <w:spacing w:line="276" w:lineRule="auto"/>
        <w:jc w:val="both"/>
      </w:pPr>
      <w:r>
        <w:t xml:space="preserve">Διάφορες μορφές βίας κατά των γυναικών: η ενδοοικογενειακή βία, η σεξουαλική βία, ο βιασμός, η πορνεία, η πορνογραφία, ο ακρωτηριασμός των γεννητικών οργάνων, το </w:t>
      </w:r>
      <w:proofErr w:type="spellStart"/>
      <w:r>
        <w:t>trafficking</w:t>
      </w:r>
      <w:proofErr w:type="spellEnd"/>
      <w:r>
        <w:t xml:space="preserve"> και η σεξουαλική παρενόχληση στον εργασιακό χώρο, φαινόμενα γνωστά και ως «κοινωνικά προβλήματα» είναι, σύμφωνα με τον κοινωνιολογικό ορισμό, υπαρκτές καταστάσεις, οι οποίες παραβιάζουν θεμελιώδη ανθρώπινα δικαιώματα, έρχονται σε σύγκρουση με τις κυρίαρχες κοινωνικές αξίες και απαιτούν δράση για την καταπολέμηση και εξάλειψή τους.</w:t>
      </w:r>
    </w:p>
    <w:p w14:paraId="58591B8D" w14:textId="2141007C" w:rsidR="00C0313E" w:rsidRDefault="00C0313E" w:rsidP="00C0313E">
      <w:pPr>
        <w:spacing w:line="276" w:lineRule="auto"/>
        <w:jc w:val="both"/>
      </w:pPr>
      <w:r>
        <w:t xml:space="preserve">Πτυχές του ζητήματος απαντώνται και στην Τέχνη και ιδιαίτερα στην απεικόνιση σκηνών σεξουαλικής βίας ή παρενόχλησης, θέματα που σε παλαιότερες εποχές αδιαμφισβήτητης πατριαρχίας ήταν ιδιαίτερα προσφιλή και προορίζονταν για την αισθητική απόλαυση των φιλότεχνων. </w:t>
      </w:r>
    </w:p>
    <w:p w14:paraId="4B78EF87" w14:textId="7CB174A4" w:rsidR="00C0313E" w:rsidRPr="00C0313E" w:rsidRDefault="00C0313E" w:rsidP="00C0313E">
      <w:pPr>
        <w:spacing w:line="276" w:lineRule="auto"/>
        <w:ind w:right="115"/>
        <w:jc w:val="both"/>
        <w:rPr>
          <w:color w:val="0000FF" w:themeColor="hyperlink"/>
          <w:u w:val="single"/>
        </w:rPr>
      </w:pPr>
      <w:r>
        <w:t xml:space="preserve">Η Ελλάδα έχει υπογράψει (11.5.2011) τη Σύμβαση για την πρόληψη και την καταπολέμηση της βίας κατά των γυναικών και της ενδοοικογενειακής βίας του Συμβουλίου της Ευρώπης, γνωστή και ως Σύμβαση της Κωνσταντινούπολης </w:t>
      </w:r>
      <w:hyperlink r:id="rId10" w:history="1">
        <w:r w:rsidRPr="00DA6ED7">
          <w:rPr>
            <w:rStyle w:val="-"/>
          </w:rPr>
          <w:t>https://www.coe.int/en/web/istanbul-convention/home</w:t>
        </w:r>
      </w:hyperlink>
      <w:r>
        <w:rPr>
          <w:rStyle w:val="-"/>
        </w:rPr>
        <w:t xml:space="preserve"> </w:t>
      </w:r>
      <w:r w:rsidRPr="00C0313E">
        <w:t>Αυτή προτρέπει τα συμβαλλόμενα</w:t>
      </w:r>
      <w:r w:rsidRPr="00C0313E">
        <w:rPr>
          <w:spacing w:val="15"/>
        </w:rPr>
        <w:t xml:space="preserve"> </w:t>
      </w:r>
      <w:r w:rsidRPr="00C0313E">
        <w:t>μέρη</w:t>
      </w:r>
      <w:r w:rsidRPr="00C0313E">
        <w:rPr>
          <w:spacing w:val="12"/>
        </w:rPr>
        <w:t xml:space="preserve"> </w:t>
      </w:r>
      <w:r w:rsidRPr="00C0313E">
        <w:t>να</w:t>
      </w:r>
      <w:r w:rsidRPr="00C0313E">
        <w:rPr>
          <w:spacing w:val="13"/>
        </w:rPr>
        <w:t xml:space="preserve"> </w:t>
      </w:r>
      <w:r w:rsidRPr="00C0313E">
        <w:t>αξιοποιήσουν</w:t>
      </w:r>
      <w:r w:rsidRPr="00C0313E">
        <w:rPr>
          <w:spacing w:val="14"/>
        </w:rPr>
        <w:t xml:space="preserve"> </w:t>
      </w:r>
      <w:r w:rsidRPr="00C0313E">
        <w:t>στο</w:t>
      </w:r>
      <w:r w:rsidRPr="00C0313E">
        <w:rPr>
          <w:spacing w:val="16"/>
        </w:rPr>
        <w:t xml:space="preserve"> </w:t>
      </w:r>
      <w:r w:rsidRPr="00C0313E">
        <w:t>διδακτικό</w:t>
      </w:r>
      <w:r w:rsidRPr="00C0313E">
        <w:rPr>
          <w:spacing w:val="15"/>
        </w:rPr>
        <w:t xml:space="preserve"> </w:t>
      </w:r>
      <w:r w:rsidRPr="00C0313E">
        <w:t>τους</w:t>
      </w:r>
      <w:r w:rsidRPr="00C0313E">
        <w:rPr>
          <w:spacing w:val="15"/>
        </w:rPr>
        <w:t xml:space="preserve"> </w:t>
      </w:r>
      <w:r w:rsidRPr="00C0313E">
        <w:t>υλικό</w:t>
      </w:r>
      <w:r w:rsidRPr="00C0313E">
        <w:rPr>
          <w:spacing w:val="15"/>
        </w:rPr>
        <w:t xml:space="preserve"> </w:t>
      </w:r>
      <w:r w:rsidRPr="00C0313E">
        <w:t>θέματα</w:t>
      </w:r>
      <w:r w:rsidRPr="00C0313E">
        <w:rPr>
          <w:spacing w:val="13"/>
        </w:rPr>
        <w:t xml:space="preserve"> </w:t>
      </w:r>
      <w:r w:rsidRPr="00C0313E">
        <w:t>όπως</w:t>
      </w:r>
      <w:r w:rsidRPr="00C0313E">
        <w:rPr>
          <w:spacing w:val="15"/>
        </w:rPr>
        <w:t xml:space="preserve"> </w:t>
      </w:r>
      <w:r w:rsidRPr="00C0313E">
        <w:t>τους</w:t>
      </w:r>
      <w:r w:rsidRPr="00C0313E">
        <w:rPr>
          <w:spacing w:val="-52"/>
        </w:rPr>
        <w:t xml:space="preserve"> </w:t>
      </w:r>
      <w:r w:rsidRPr="00C0313E">
        <w:t xml:space="preserve"> μη</w:t>
      </w:r>
      <w:r w:rsidRPr="00C0313E">
        <w:rPr>
          <w:spacing w:val="2"/>
        </w:rPr>
        <w:t xml:space="preserve"> </w:t>
      </w:r>
      <w:r w:rsidRPr="00C0313E">
        <w:t>στερεοτυπικούς</w:t>
      </w:r>
      <w:r w:rsidRPr="00C0313E">
        <w:rPr>
          <w:spacing w:val="2"/>
        </w:rPr>
        <w:t xml:space="preserve"> </w:t>
      </w:r>
      <w:r w:rsidRPr="00C0313E">
        <w:t>ρόλους</w:t>
      </w:r>
      <w:r w:rsidRPr="00C0313E">
        <w:rPr>
          <w:spacing w:val="2"/>
        </w:rPr>
        <w:t xml:space="preserve"> </w:t>
      </w:r>
      <w:r w:rsidRPr="00C0313E">
        <w:t>των</w:t>
      </w:r>
      <w:r w:rsidRPr="00C0313E">
        <w:rPr>
          <w:spacing w:val="2"/>
        </w:rPr>
        <w:t xml:space="preserve"> </w:t>
      </w:r>
      <w:r w:rsidRPr="00C0313E">
        <w:t>φύλων,</w:t>
      </w:r>
      <w:r w:rsidRPr="00C0313E">
        <w:rPr>
          <w:spacing w:val="3"/>
        </w:rPr>
        <w:t xml:space="preserve"> </w:t>
      </w:r>
      <w:r w:rsidRPr="00C0313E">
        <w:t>τον</w:t>
      </w:r>
      <w:r w:rsidRPr="00C0313E">
        <w:rPr>
          <w:spacing w:val="3"/>
        </w:rPr>
        <w:t xml:space="preserve"> </w:t>
      </w:r>
      <w:r w:rsidRPr="00C0313E">
        <w:t>αμοιβαίο</w:t>
      </w:r>
      <w:r w:rsidRPr="00C0313E">
        <w:rPr>
          <w:spacing w:val="2"/>
        </w:rPr>
        <w:t xml:space="preserve"> </w:t>
      </w:r>
      <w:r w:rsidRPr="00C0313E">
        <w:t>σεβασμό,</w:t>
      </w:r>
      <w:r w:rsidRPr="00C0313E">
        <w:rPr>
          <w:spacing w:val="2"/>
        </w:rPr>
        <w:t xml:space="preserve"> </w:t>
      </w:r>
      <w:r w:rsidRPr="00C0313E">
        <w:t>τη</w:t>
      </w:r>
      <w:r w:rsidRPr="00C0313E">
        <w:rPr>
          <w:spacing w:val="2"/>
        </w:rPr>
        <w:t xml:space="preserve"> </w:t>
      </w:r>
      <w:r w:rsidRPr="00C0313E">
        <w:t>μη</w:t>
      </w:r>
      <w:r w:rsidRPr="00C0313E">
        <w:rPr>
          <w:spacing w:val="3"/>
        </w:rPr>
        <w:t xml:space="preserve"> </w:t>
      </w:r>
      <w:r w:rsidRPr="00C0313E">
        <w:t>βίαιη</w:t>
      </w:r>
      <w:r w:rsidRPr="00C0313E">
        <w:rPr>
          <w:spacing w:val="2"/>
        </w:rPr>
        <w:t xml:space="preserve"> </w:t>
      </w:r>
      <w:r w:rsidRPr="00C0313E">
        <w:t>επίλυση</w:t>
      </w:r>
      <w:r w:rsidRPr="00C0313E">
        <w:rPr>
          <w:spacing w:val="-52"/>
        </w:rPr>
        <w:t xml:space="preserve"> </w:t>
      </w:r>
      <w:r w:rsidRPr="00C0313E">
        <w:t>των</w:t>
      </w:r>
      <w:r w:rsidRPr="00C0313E">
        <w:rPr>
          <w:spacing w:val="1"/>
        </w:rPr>
        <w:t xml:space="preserve"> </w:t>
      </w:r>
      <w:r w:rsidRPr="00C0313E">
        <w:t>συγκρούσεων</w:t>
      </w:r>
      <w:r w:rsidRPr="00C0313E">
        <w:rPr>
          <w:spacing w:val="1"/>
        </w:rPr>
        <w:t xml:space="preserve"> </w:t>
      </w:r>
      <w:r w:rsidRPr="00C0313E">
        <w:t>στις διαπροσωπικές</w:t>
      </w:r>
      <w:r w:rsidRPr="00C0313E">
        <w:rPr>
          <w:spacing w:val="1"/>
        </w:rPr>
        <w:t xml:space="preserve"> </w:t>
      </w:r>
      <w:r w:rsidRPr="00C0313E">
        <w:t>σχέσεις,</w:t>
      </w:r>
      <w:r w:rsidRPr="00C0313E">
        <w:rPr>
          <w:spacing w:val="1"/>
        </w:rPr>
        <w:t xml:space="preserve"> </w:t>
      </w:r>
      <w:r w:rsidRPr="00C0313E">
        <w:t>το δικαίωμα</w:t>
      </w:r>
      <w:r w:rsidRPr="00C0313E">
        <w:rPr>
          <w:spacing w:val="1"/>
        </w:rPr>
        <w:t xml:space="preserve"> </w:t>
      </w:r>
      <w:r w:rsidRPr="00C0313E">
        <w:t>στην προσωπική</w:t>
      </w:r>
      <w:r w:rsidRPr="00C0313E">
        <w:rPr>
          <w:spacing w:val="1"/>
        </w:rPr>
        <w:t xml:space="preserve"> </w:t>
      </w:r>
      <w:r w:rsidRPr="00C0313E">
        <w:t>ακεραιότητα, προσαρμοσμένα στη βαθμιαία εξελισσόμενη ικανότητα των μαθητών/</w:t>
      </w:r>
      <w:r w:rsidRPr="00C0313E">
        <w:rPr>
          <w:spacing w:val="-52"/>
        </w:rPr>
        <w:t xml:space="preserve"> </w:t>
      </w:r>
      <w:r w:rsidRPr="00C0313E">
        <w:t>τριών,</w:t>
      </w:r>
      <w:r w:rsidRPr="00C0313E">
        <w:rPr>
          <w:spacing w:val="-2"/>
        </w:rPr>
        <w:t xml:space="preserve"> </w:t>
      </w:r>
      <w:r w:rsidRPr="00C0313E">
        <w:t>στα</w:t>
      </w:r>
      <w:r w:rsidRPr="00C0313E">
        <w:rPr>
          <w:spacing w:val="-3"/>
        </w:rPr>
        <w:t xml:space="preserve"> </w:t>
      </w:r>
      <w:r w:rsidRPr="00C0313E">
        <w:t>επίσημα</w:t>
      </w:r>
      <w:r w:rsidRPr="00C0313E">
        <w:rPr>
          <w:spacing w:val="-3"/>
        </w:rPr>
        <w:t xml:space="preserve"> </w:t>
      </w:r>
      <w:r w:rsidRPr="00C0313E">
        <w:t>προγράμματα</w:t>
      </w:r>
      <w:r w:rsidRPr="00C0313E">
        <w:rPr>
          <w:spacing w:val="-3"/>
        </w:rPr>
        <w:t xml:space="preserve"> </w:t>
      </w:r>
      <w:r w:rsidRPr="00C0313E">
        <w:t>σπουδών</w:t>
      </w:r>
      <w:r w:rsidRPr="00C0313E">
        <w:rPr>
          <w:spacing w:val="-1"/>
        </w:rPr>
        <w:t xml:space="preserve"> </w:t>
      </w:r>
      <w:r w:rsidRPr="00C0313E">
        <w:t>και</w:t>
      </w:r>
      <w:r w:rsidRPr="00C0313E">
        <w:rPr>
          <w:spacing w:val="-3"/>
        </w:rPr>
        <w:t xml:space="preserve"> </w:t>
      </w:r>
      <w:r w:rsidRPr="00C0313E">
        <w:t>σε</w:t>
      </w:r>
      <w:r w:rsidRPr="00C0313E">
        <w:rPr>
          <w:spacing w:val="-2"/>
        </w:rPr>
        <w:t xml:space="preserve"> </w:t>
      </w:r>
      <w:r w:rsidRPr="00C0313E">
        <w:t>όλα</w:t>
      </w:r>
      <w:r w:rsidRPr="00C0313E">
        <w:rPr>
          <w:spacing w:val="-4"/>
        </w:rPr>
        <w:t xml:space="preserve"> </w:t>
      </w:r>
      <w:r w:rsidRPr="00C0313E">
        <w:t>τα</w:t>
      </w:r>
      <w:r w:rsidRPr="00C0313E">
        <w:rPr>
          <w:spacing w:val="-3"/>
        </w:rPr>
        <w:t xml:space="preserve"> </w:t>
      </w:r>
      <w:r w:rsidRPr="00C0313E">
        <w:t>επίπεδα</w:t>
      </w:r>
      <w:r w:rsidRPr="00C0313E">
        <w:rPr>
          <w:spacing w:val="-4"/>
        </w:rPr>
        <w:t xml:space="preserve"> </w:t>
      </w:r>
      <w:r w:rsidRPr="00C0313E">
        <w:t>της</w:t>
      </w:r>
      <w:r w:rsidRPr="00C0313E">
        <w:rPr>
          <w:spacing w:val="-4"/>
        </w:rPr>
        <w:t xml:space="preserve"> </w:t>
      </w:r>
      <w:r w:rsidRPr="00C0313E">
        <w:t>εκπαίδευσης.</w:t>
      </w:r>
    </w:p>
    <w:p w14:paraId="7989E64E" w14:textId="628878A5" w:rsidR="00C0313E" w:rsidRPr="00C0313E" w:rsidRDefault="00C0313E" w:rsidP="00C0313E">
      <w:pPr>
        <w:spacing w:line="276" w:lineRule="auto"/>
        <w:ind w:right="115"/>
        <w:jc w:val="both"/>
      </w:pPr>
      <w:r w:rsidRPr="00C0313E">
        <w:rPr>
          <w:spacing w:val="-1"/>
        </w:rPr>
        <w:t>Έχοντας</w:t>
      </w:r>
      <w:r w:rsidRPr="00C0313E">
        <w:rPr>
          <w:spacing w:val="-13"/>
        </w:rPr>
        <w:t xml:space="preserve"> </w:t>
      </w:r>
      <w:r w:rsidRPr="00C0313E">
        <w:rPr>
          <w:spacing w:val="-1"/>
        </w:rPr>
        <w:t>ωστόσο</w:t>
      </w:r>
      <w:r w:rsidRPr="00C0313E">
        <w:rPr>
          <w:spacing w:val="-10"/>
        </w:rPr>
        <w:t xml:space="preserve"> </w:t>
      </w:r>
      <w:r w:rsidRPr="00C0313E">
        <w:rPr>
          <w:spacing w:val="-1"/>
        </w:rPr>
        <w:t>κατά</w:t>
      </w:r>
      <w:r w:rsidRPr="00C0313E">
        <w:rPr>
          <w:spacing w:val="-9"/>
        </w:rPr>
        <w:t xml:space="preserve"> </w:t>
      </w:r>
      <w:r w:rsidRPr="00C0313E">
        <w:rPr>
          <w:spacing w:val="-1"/>
        </w:rPr>
        <w:t>νου</w:t>
      </w:r>
      <w:r w:rsidRPr="00C0313E">
        <w:rPr>
          <w:spacing w:val="-10"/>
        </w:rPr>
        <w:t xml:space="preserve"> </w:t>
      </w:r>
      <w:r w:rsidRPr="00C0313E">
        <w:rPr>
          <w:spacing w:val="-1"/>
        </w:rPr>
        <w:t>ότι:</w:t>
      </w:r>
      <w:r w:rsidRPr="00C0313E">
        <w:rPr>
          <w:spacing w:val="-11"/>
        </w:rPr>
        <w:t xml:space="preserve"> </w:t>
      </w:r>
      <w:r w:rsidRPr="00C0313E">
        <w:rPr>
          <w:spacing w:val="-1"/>
        </w:rPr>
        <w:t>α.</w:t>
      </w:r>
      <w:r w:rsidRPr="00C0313E">
        <w:rPr>
          <w:spacing w:val="-11"/>
        </w:rPr>
        <w:t xml:space="preserve"> </w:t>
      </w:r>
      <w:r w:rsidRPr="00C0313E">
        <w:rPr>
          <w:spacing w:val="-1"/>
        </w:rPr>
        <w:t>η</w:t>
      </w:r>
      <w:r w:rsidRPr="00C0313E">
        <w:rPr>
          <w:spacing w:val="-11"/>
        </w:rPr>
        <w:t xml:space="preserve"> </w:t>
      </w:r>
      <w:r w:rsidRPr="00C0313E">
        <w:t>de</w:t>
      </w:r>
      <w:r w:rsidRPr="00C0313E">
        <w:rPr>
          <w:spacing w:val="-12"/>
        </w:rPr>
        <w:t xml:space="preserve"> </w:t>
      </w:r>
      <w:proofErr w:type="spellStart"/>
      <w:r w:rsidRPr="00C0313E">
        <w:t>jure</w:t>
      </w:r>
      <w:proofErr w:type="spellEnd"/>
      <w:r w:rsidRPr="00C0313E">
        <w:rPr>
          <w:spacing w:val="-10"/>
        </w:rPr>
        <w:t xml:space="preserve"> </w:t>
      </w:r>
      <w:r w:rsidRPr="00C0313E">
        <w:t>προώθηση</w:t>
      </w:r>
      <w:r w:rsidRPr="00C0313E">
        <w:rPr>
          <w:spacing w:val="-9"/>
        </w:rPr>
        <w:t xml:space="preserve"> </w:t>
      </w:r>
      <w:r w:rsidRPr="00C0313E">
        <w:t>της</w:t>
      </w:r>
      <w:r w:rsidRPr="00C0313E">
        <w:rPr>
          <w:spacing w:val="-13"/>
        </w:rPr>
        <w:t xml:space="preserve"> </w:t>
      </w:r>
      <w:r w:rsidRPr="00C0313E">
        <w:t>ισότητας</w:t>
      </w:r>
      <w:r w:rsidRPr="00C0313E">
        <w:rPr>
          <w:spacing w:val="-9"/>
        </w:rPr>
        <w:t xml:space="preserve"> </w:t>
      </w:r>
      <w:r w:rsidRPr="00C0313E">
        <w:t>δεν</w:t>
      </w:r>
      <w:r w:rsidRPr="00C0313E">
        <w:rPr>
          <w:spacing w:val="-12"/>
        </w:rPr>
        <w:t xml:space="preserve"> </w:t>
      </w:r>
      <w:r w:rsidRPr="00C0313E">
        <w:t>σημαίνει</w:t>
      </w:r>
      <w:r w:rsidRPr="00C0313E">
        <w:rPr>
          <w:spacing w:val="-52"/>
        </w:rPr>
        <w:t xml:space="preserve"> </w:t>
      </w:r>
      <w:r w:rsidRPr="00C0313E">
        <w:t>και τη δια του αυτονοήτου de facto επίτευξή της και β. η ύπαρξη νομοθετικού</w:t>
      </w:r>
      <w:r w:rsidRPr="00C0313E">
        <w:rPr>
          <w:spacing w:val="1"/>
        </w:rPr>
        <w:t xml:space="preserve"> </w:t>
      </w:r>
      <w:r w:rsidRPr="00C0313E">
        <w:t>πλαισίου και Κωδίκων Δεοντολογίας που στοχεύουν στην καταπολέμηση των</w:t>
      </w:r>
      <w:r w:rsidRPr="00C0313E">
        <w:rPr>
          <w:spacing w:val="1"/>
        </w:rPr>
        <w:t xml:space="preserve"> </w:t>
      </w:r>
      <w:r w:rsidRPr="00C0313E">
        <w:t>στερεοτύπων λόγω φύλου στα ΜΜΕ δεν συνεπάγεται και την αυτόματη και</w:t>
      </w:r>
      <w:r w:rsidRPr="00C0313E">
        <w:rPr>
          <w:spacing w:val="1"/>
        </w:rPr>
        <w:t xml:space="preserve"> </w:t>
      </w:r>
      <w:r w:rsidRPr="00C0313E">
        <w:t>ουσιαστική εφαρμογή τους, προκύπτει ότι η κατάλληλη ευαισθητοποίηση και</w:t>
      </w:r>
      <w:r w:rsidRPr="00C0313E">
        <w:rPr>
          <w:spacing w:val="1"/>
        </w:rPr>
        <w:t xml:space="preserve"> </w:t>
      </w:r>
      <w:r w:rsidRPr="00C0313E">
        <w:t xml:space="preserve">εκπαίδευση μέσω </w:t>
      </w:r>
      <w:proofErr w:type="spellStart"/>
      <w:r w:rsidRPr="00C0313E">
        <w:t>στοχευμένων</w:t>
      </w:r>
      <w:proofErr w:type="spellEnd"/>
      <w:r w:rsidRPr="00C0313E">
        <w:t xml:space="preserve"> προγραμμάτων, σχετικά με τα θέματα της </w:t>
      </w:r>
      <w:proofErr w:type="spellStart"/>
      <w:r w:rsidRPr="00C0313E">
        <w:t>έμφυλης</w:t>
      </w:r>
      <w:proofErr w:type="spellEnd"/>
      <w:r w:rsidRPr="00C0313E">
        <w:rPr>
          <w:spacing w:val="1"/>
        </w:rPr>
        <w:t xml:space="preserve"> </w:t>
      </w:r>
      <w:r w:rsidRPr="00C0313E">
        <w:t>βίας και των διακρίσεων μπορούν να συμβάλουν στην καταπολέμηση των</w:t>
      </w:r>
      <w:r w:rsidRPr="00C0313E">
        <w:rPr>
          <w:spacing w:val="1"/>
        </w:rPr>
        <w:t xml:space="preserve"> </w:t>
      </w:r>
      <w:r w:rsidRPr="00C0313E">
        <w:t>στερεοτύπων λόγω φύλου στα ΜΜΕ και την Τέχνη και να τα μετατρέψουν σε μέσο</w:t>
      </w:r>
      <w:r w:rsidRPr="00C0313E">
        <w:rPr>
          <w:spacing w:val="1"/>
        </w:rPr>
        <w:t xml:space="preserve"> </w:t>
      </w:r>
      <w:r w:rsidRPr="00C0313E">
        <w:t>προώθησης της ισότητας.</w:t>
      </w:r>
    </w:p>
    <w:p w14:paraId="6D82C809" w14:textId="3A553D7D" w:rsidR="00C0313E" w:rsidRDefault="00C0313E" w:rsidP="00C0313E">
      <w:pPr>
        <w:spacing w:line="276" w:lineRule="auto"/>
        <w:jc w:val="both"/>
      </w:pPr>
    </w:p>
    <w:p w14:paraId="4D40FCFA" w14:textId="77777777" w:rsidR="00C0313E" w:rsidRDefault="00C0313E" w:rsidP="00C0313E">
      <w:pPr>
        <w:spacing w:line="276" w:lineRule="auto"/>
        <w:jc w:val="both"/>
      </w:pPr>
      <w:r>
        <w:t xml:space="preserve"> </w:t>
      </w:r>
    </w:p>
    <w:p w14:paraId="5135D876" w14:textId="77777777" w:rsidR="00C0313E" w:rsidRDefault="00C0313E" w:rsidP="00C0313E">
      <w:pPr>
        <w:spacing w:line="276" w:lineRule="auto"/>
        <w:jc w:val="both"/>
      </w:pPr>
    </w:p>
    <w:p w14:paraId="19BE1850" w14:textId="77777777" w:rsidR="00C0313E" w:rsidRDefault="00C0313E" w:rsidP="00C0313E">
      <w:pPr>
        <w:spacing w:line="276" w:lineRule="auto"/>
        <w:jc w:val="both"/>
      </w:pPr>
      <w:r>
        <w:t xml:space="preserve"> </w:t>
      </w:r>
    </w:p>
    <w:p w14:paraId="6D4A3F8E" w14:textId="77777777" w:rsidR="69AC2F04" w:rsidRPr="00453411" w:rsidRDefault="69AC2F04" w:rsidP="00C0313E">
      <w:pPr>
        <w:spacing w:line="276" w:lineRule="auto"/>
        <w:jc w:val="both"/>
      </w:pPr>
    </w:p>
    <w:sectPr w:rsidR="69AC2F04" w:rsidRPr="00453411" w:rsidSect="00865E82">
      <w:headerReference w:type="default" r:id="rId11"/>
      <w:footerReference w:type="default" r:id="rId1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B3098" w14:textId="77777777" w:rsidR="00BD4C58" w:rsidRDefault="00BD4C58">
      <w:r>
        <w:separator/>
      </w:r>
    </w:p>
  </w:endnote>
  <w:endnote w:type="continuationSeparator" w:id="0">
    <w:p w14:paraId="271EB757" w14:textId="77777777" w:rsidR="00BD4C58" w:rsidRDefault="00BD4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3D87" w14:textId="77777777" w:rsidR="006A5215" w:rsidRDefault="0034520D" w:rsidP="0034520D">
    <w:pPr>
      <w:pStyle w:val="1"/>
      <w:jc w:val="center"/>
    </w:pPr>
    <w:r w:rsidRPr="0034520D">
      <w:rPr>
        <w:noProof/>
      </w:rPr>
      <w:drawing>
        <wp:inline distT="0" distB="0" distL="0" distR="0" wp14:anchorId="4F6C71B4" wp14:editId="0E52E0FB">
          <wp:extent cx="4381500" cy="596265"/>
          <wp:effectExtent l="19050" t="0" r="0" b="0"/>
          <wp:docPr id="11" name="Εικόνα 1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4A140" w14:textId="77777777" w:rsidR="00BD4C58" w:rsidRDefault="00BD4C58">
      <w:r>
        <w:separator/>
      </w:r>
    </w:p>
  </w:footnote>
  <w:footnote w:type="continuationSeparator" w:id="0">
    <w:p w14:paraId="2212E77F" w14:textId="77777777" w:rsidR="00BD4C58" w:rsidRDefault="00BD4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BE186" w14:textId="77777777" w:rsidR="006A5215" w:rsidRDefault="006A5215">
    <w:pPr>
      <w:pStyle w:val="a3"/>
      <w:spacing w:line="14" w:lineRule="auto"/>
      <w:rPr>
        <w:sz w:val="20"/>
      </w:rPr>
    </w:pPr>
  </w:p>
  <w:p w14:paraId="7B67A320" w14:textId="77777777" w:rsidR="00865E82" w:rsidRDefault="00865E82">
    <w:pPr>
      <w:pStyle w:val="a3"/>
      <w:spacing w:line="14" w:lineRule="auto"/>
      <w:rPr>
        <w:sz w:val="20"/>
      </w:rPr>
    </w:pPr>
  </w:p>
  <w:p w14:paraId="51E9ED79" w14:textId="77777777" w:rsidR="00865E82" w:rsidRDefault="00865E82">
    <w:pPr>
      <w:pStyle w:val="a3"/>
      <w:spacing w:line="14" w:lineRule="auto"/>
      <w:rPr>
        <w:sz w:val="20"/>
      </w:rPr>
    </w:pPr>
  </w:p>
  <w:p w14:paraId="164815B3" w14:textId="77777777" w:rsidR="00865E82" w:rsidRDefault="00865E82">
    <w:pPr>
      <w:pStyle w:val="a3"/>
      <w:spacing w:line="14" w:lineRule="auto"/>
      <w:rPr>
        <w:sz w:val="20"/>
      </w:rPr>
    </w:pPr>
  </w:p>
  <w:p w14:paraId="6675263A" w14:textId="77777777" w:rsidR="00865E82" w:rsidRDefault="00B340E8">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4170C569" wp14:editId="1E521E98">
          <wp:simplePos x="0" y="0"/>
          <wp:positionH relativeFrom="margin">
            <wp:align>center</wp:align>
          </wp:positionH>
          <wp:positionV relativeFrom="paragraph">
            <wp:posOffset>17780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374873BC" w14:textId="77777777" w:rsidR="00865E82" w:rsidRDefault="00865E82">
    <w:pPr>
      <w:pStyle w:val="a3"/>
      <w:spacing w:line="14" w:lineRule="auto"/>
      <w:rPr>
        <w:sz w:val="20"/>
      </w:rPr>
    </w:pPr>
  </w:p>
  <w:p w14:paraId="718CC604" w14:textId="77777777" w:rsidR="00865E82" w:rsidRDefault="00865E82">
    <w:pPr>
      <w:pStyle w:val="a3"/>
      <w:spacing w:line="14" w:lineRule="auto"/>
      <w:rPr>
        <w:sz w:val="20"/>
      </w:rPr>
    </w:pPr>
  </w:p>
  <w:p w14:paraId="409575AC" w14:textId="77777777" w:rsidR="00865E82" w:rsidRDefault="00865E82">
    <w:pPr>
      <w:pStyle w:val="a3"/>
      <w:spacing w:line="14" w:lineRule="auto"/>
      <w:rPr>
        <w:sz w:val="20"/>
      </w:rPr>
    </w:pPr>
  </w:p>
  <w:p w14:paraId="40D028D1" w14:textId="77777777" w:rsidR="00865E82" w:rsidRDefault="00865E82">
    <w:pPr>
      <w:pStyle w:val="a3"/>
      <w:spacing w:line="14" w:lineRule="auto"/>
      <w:rPr>
        <w:sz w:val="20"/>
      </w:rPr>
    </w:pPr>
  </w:p>
  <w:p w14:paraId="0CBAB1E5" w14:textId="77777777" w:rsidR="00865E82" w:rsidRDefault="00865E82">
    <w:pPr>
      <w:pStyle w:val="a3"/>
      <w:spacing w:line="14" w:lineRule="auto"/>
      <w:rPr>
        <w:sz w:val="20"/>
      </w:rPr>
    </w:pPr>
  </w:p>
  <w:p w14:paraId="71475B1B" w14:textId="77777777" w:rsidR="00865E82" w:rsidRDefault="00865E82">
    <w:pPr>
      <w:pStyle w:val="a3"/>
      <w:spacing w:line="14" w:lineRule="auto"/>
      <w:rPr>
        <w:sz w:val="20"/>
      </w:rPr>
    </w:pPr>
  </w:p>
  <w:p w14:paraId="597F0E7F" w14:textId="77777777" w:rsidR="00865E82" w:rsidRDefault="00865E82">
    <w:pPr>
      <w:pStyle w:val="a3"/>
      <w:spacing w:line="14" w:lineRule="auto"/>
      <w:rPr>
        <w:sz w:val="20"/>
      </w:rPr>
    </w:pPr>
  </w:p>
  <w:p w14:paraId="7A5C095B" w14:textId="77777777" w:rsidR="00865E82" w:rsidRDefault="00865E82">
    <w:pPr>
      <w:pStyle w:val="a3"/>
      <w:spacing w:line="14" w:lineRule="auto"/>
      <w:rPr>
        <w:sz w:val="20"/>
      </w:rPr>
    </w:pPr>
  </w:p>
  <w:p w14:paraId="37DFE57D" w14:textId="77777777" w:rsidR="00865E82" w:rsidRDefault="00865E82">
    <w:pPr>
      <w:pStyle w:val="a3"/>
      <w:spacing w:line="14" w:lineRule="auto"/>
      <w:rPr>
        <w:sz w:val="20"/>
      </w:rPr>
    </w:pPr>
  </w:p>
  <w:p w14:paraId="2373C8F3" w14:textId="77777777" w:rsidR="00865E82" w:rsidRDefault="00865E82">
    <w:pPr>
      <w:pStyle w:val="a3"/>
      <w:spacing w:line="14" w:lineRule="auto"/>
      <w:rPr>
        <w:sz w:val="20"/>
      </w:rPr>
    </w:pPr>
  </w:p>
  <w:p w14:paraId="2BF0D245" w14:textId="77777777" w:rsidR="00865E82" w:rsidRDefault="00865E82">
    <w:pPr>
      <w:pStyle w:val="a3"/>
      <w:spacing w:line="14" w:lineRule="auto"/>
      <w:rPr>
        <w:sz w:val="20"/>
      </w:rPr>
    </w:pPr>
  </w:p>
  <w:p w14:paraId="50BF5930" w14:textId="77777777" w:rsidR="00865E82" w:rsidRDefault="00865E82">
    <w:pPr>
      <w:pStyle w:val="a3"/>
      <w:spacing w:line="14" w:lineRule="auto"/>
      <w:rPr>
        <w:sz w:val="20"/>
      </w:rPr>
    </w:pPr>
  </w:p>
  <w:p w14:paraId="57CD6226" w14:textId="77777777" w:rsidR="00865E82" w:rsidRDefault="00865E82">
    <w:pPr>
      <w:pStyle w:val="a3"/>
      <w:spacing w:line="14" w:lineRule="auto"/>
      <w:rPr>
        <w:sz w:val="20"/>
      </w:rPr>
    </w:pPr>
  </w:p>
  <w:p w14:paraId="7D3B323A" w14:textId="77777777" w:rsidR="00865E82" w:rsidRDefault="00865E82">
    <w:pPr>
      <w:pStyle w:val="a3"/>
      <w:spacing w:line="14" w:lineRule="auto"/>
      <w:rPr>
        <w:sz w:val="20"/>
      </w:rPr>
    </w:pPr>
  </w:p>
  <w:p w14:paraId="6302E6E2" w14:textId="77777777" w:rsidR="00865E82" w:rsidRDefault="00865E82">
    <w:pPr>
      <w:pStyle w:val="a3"/>
      <w:spacing w:line="14" w:lineRule="auto"/>
      <w:rPr>
        <w:sz w:val="20"/>
      </w:rPr>
    </w:pPr>
  </w:p>
  <w:p w14:paraId="01606A36" w14:textId="77777777" w:rsidR="00865E82" w:rsidRDefault="00865E82">
    <w:pPr>
      <w:pStyle w:val="a3"/>
      <w:spacing w:line="14" w:lineRule="auto"/>
      <w:rPr>
        <w:sz w:val="20"/>
      </w:rPr>
    </w:pPr>
  </w:p>
  <w:p w14:paraId="6AD741A0" w14:textId="77777777" w:rsidR="00865E82" w:rsidRDefault="00865E82">
    <w:pPr>
      <w:pStyle w:val="a3"/>
      <w:spacing w:line="14" w:lineRule="auto"/>
      <w:rPr>
        <w:sz w:val="20"/>
      </w:rPr>
    </w:pPr>
  </w:p>
  <w:p w14:paraId="5EFD972D" w14:textId="77777777" w:rsidR="00865E82" w:rsidRDefault="00865E82">
    <w:pPr>
      <w:pStyle w:val="a3"/>
      <w:spacing w:line="14" w:lineRule="auto"/>
      <w:rPr>
        <w:sz w:val="20"/>
      </w:rPr>
    </w:pPr>
  </w:p>
  <w:p w14:paraId="419D8F0F" w14:textId="77777777" w:rsidR="00865E82" w:rsidRDefault="00865E82">
    <w:pPr>
      <w:pStyle w:val="a3"/>
      <w:spacing w:line="14" w:lineRule="auto"/>
      <w:rPr>
        <w:sz w:val="20"/>
      </w:rPr>
    </w:pPr>
  </w:p>
  <w:p w14:paraId="54861A00" w14:textId="77777777" w:rsidR="00865E82" w:rsidRDefault="00865E82">
    <w:pPr>
      <w:pStyle w:val="a3"/>
      <w:spacing w:line="14" w:lineRule="auto"/>
      <w:rPr>
        <w:sz w:val="20"/>
      </w:rPr>
    </w:pPr>
  </w:p>
  <w:p w14:paraId="37A04CE4" w14:textId="77777777" w:rsidR="00865E82" w:rsidRDefault="00865E82">
    <w:pPr>
      <w:pStyle w:val="a3"/>
      <w:spacing w:line="14" w:lineRule="auto"/>
      <w:rPr>
        <w:sz w:val="20"/>
      </w:rPr>
    </w:pPr>
  </w:p>
  <w:p w14:paraId="1BB286F8" w14:textId="77777777" w:rsidR="00865E82" w:rsidRDefault="00865E82">
    <w:pPr>
      <w:pStyle w:val="a3"/>
      <w:spacing w:line="14" w:lineRule="auto"/>
      <w:rPr>
        <w:sz w:val="20"/>
      </w:rPr>
    </w:pPr>
  </w:p>
  <w:p w14:paraId="2AF09E27" w14:textId="77777777" w:rsidR="00865E82" w:rsidRDefault="00865E82">
    <w:pPr>
      <w:pStyle w:val="a3"/>
      <w:spacing w:line="14" w:lineRule="auto"/>
      <w:rPr>
        <w:sz w:val="20"/>
      </w:rPr>
    </w:pPr>
  </w:p>
  <w:p w14:paraId="6BF011A3" w14:textId="77777777" w:rsidR="00865E82" w:rsidRDefault="00865E82">
    <w:pPr>
      <w:pStyle w:val="a3"/>
      <w:spacing w:line="14" w:lineRule="auto"/>
      <w:rPr>
        <w:sz w:val="20"/>
      </w:rPr>
    </w:pPr>
  </w:p>
  <w:p w14:paraId="73E18163" w14:textId="77777777" w:rsidR="00865E82" w:rsidRDefault="00865E82">
    <w:pPr>
      <w:pStyle w:val="a3"/>
      <w:spacing w:line="14" w:lineRule="auto"/>
      <w:rPr>
        <w:sz w:val="20"/>
      </w:rPr>
    </w:pPr>
  </w:p>
  <w:p w14:paraId="2D2DB7D0" w14:textId="77777777" w:rsidR="00865E82" w:rsidRDefault="00865E82">
    <w:pPr>
      <w:pStyle w:val="a3"/>
      <w:spacing w:line="14" w:lineRule="auto"/>
      <w:rPr>
        <w:sz w:val="20"/>
      </w:rPr>
    </w:pPr>
  </w:p>
  <w:p w14:paraId="4DF18259" w14:textId="77777777" w:rsidR="00865E82" w:rsidRDefault="00865E82">
    <w:pPr>
      <w:pStyle w:val="a3"/>
      <w:spacing w:line="14" w:lineRule="auto"/>
      <w:rPr>
        <w:sz w:val="20"/>
      </w:rPr>
    </w:pPr>
  </w:p>
  <w:p w14:paraId="45227DBA" w14:textId="77777777" w:rsidR="00865E82" w:rsidRDefault="00865E82">
    <w:pPr>
      <w:pStyle w:val="a3"/>
      <w:spacing w:line="14" w:lineRule="auto"/>
      <w:rPr>
        <w:sz w:val="20"/>
      </w:rPr>
    </w:pPr>
  </w:p>
  <w:p w14:paraId="573E29E7" w14:textId="77777777" w:rsidR="00865E82" w:rsidRDefault="00865E82">
    <w:pPr>
      <w:pStyle w:val="a3"/>
      <w:spacing w:line="14" w:lineRule="auto"/>
      <w:rPr>
        <w:sz w:val="20"/>
      </w:rPr>
    </w:pPr>
  </w:p>
  <w:p w14:paraId="06DA5AE3" w14:textId="77777777" w:rsidR="00865E82" w:rsidRDefault="00865E82">
    <w:pPr>
      <w:pStyle w:val="a3"/>
      <w:spacing w:line="14" w:lineRule="auto"/>
      <w:rPr>
        <w:sz w:val="20"/>
      </w:rPr>
    </w:pPr>
  </w:p>
  <w:p w14:paraId="01DD7363" w14:textId="77777777" w:rsidR="00865E82" w:rsidRDefault="00865E82">
    <w:pPr>
      <w:pStyle w:val="a3"/>
      <w:spacing w:line="14" w:lineRule="auto"/>
      <w:rPr>
        <w:sz w:val="20"/>
      </w:rPr>
    </w:pPr>
  </w:p>
  <w:p w14:paraId="27A043EE" w14:textId="77777777" w:rsidR="00865E82" w:rsidRDefault="00865E82">
    <w:pPr>
      <w:pStyle w:val="a3"/>
      <w:spacing w:line="14" w:lineRule="auto"/>
      <w:rPr>
        <w:sz w:val="20"/>
      </w:rPr>
    </w:pPr>
  </w:p>
  <w:p w14:paraId="4A5AC652" w14:textId="77777777" w:rsidR="00865E82" w:rsidRDefault="00865E82">
    <w:pPr>
      <w:pStyle w:val="a3"/>
      <w:spacing w:line="14" w:lineRule="auto"/>
      <w:rPr>
        <w:sz w:val="20"/>
      </w:rPr>
    </w:pPr>
  </w:p>
  <w:p w14:paraId="177725DD" w14:textId="77777777" w:rsidR="00865E82" w:rsidRDefault="00865E82">
    <w:pPr>
      <w:pStyle w:val="a3"/>
      <w:spacing w:line="14" w:lineRule="auto"/>
      <w:rPr>
        <w:sz w:val="20"/>
      </w:rPr>
    </w:pPr>
  </w:p>
  <w:p w14:paraId="50F43C3E" w14:textId="77777777" w:rsidR="00865E82" w:rsidRDefault="00865E82">
    <w:pPr>
      <w:pStyle w:val="a3"/>
      <w:spacing w:line="14" w:lineRule="auto"/>
      <w:rPr>
        <w:sz w:val="20"/>
      </w:rPr>
    </w:pPr>
  </w:p>
  <w:p w14:paraId="44B7EFC3" w14:textId="77777777" w:rsidR="00865E82" w:rsidRDefault="00865E82">
    <w:pPr>
      <w:pStyle w:val="a3"/>
      <w:spacing w:line="14" w:lineRule="auto"/>
      <w:rPr>
        <w:sz w:val="20"/>
      </w:rPr>
    </w:pPr>
  </w:p>
  <w:p w14:paraId="5F75F27D" w14:textId="77777777" w:rsidR="00865E82" w:rsidRDefault="00865E82">
    <w:pPr>
      <w:pStyle w:val="a3"/>
      <w:spacing w:line="14" w:lineRule="auto"/>
      <w:rPr>
        <w:sz w:val="20"/>
      </w:rPr>
    </w:pPr>
  </w:p>
  <w:p w14:paraId="4AE49FC5" w14:textId="77777777" w:rsidR="00865E82" w:rsidRDefault="00865E82">
    <w:pPr>
      <w:pStyle w:val="a3"/>
      <w:spacing w:line="14" w:lineRule="auto"/>
      <w:rPr>
        <w:sz w:val="20"/>
      </w:rPr>
    </w:pPr>
  </w:p>
  <w:p w14:paraId="3FD213CB" w14:textId="77777777" w:rsidR="00865E82" w:rsidRDefault="00865E82">
    <w:pPr>
      <w:pStyle w:val="a3"/>
      <w:spacing w:line="14" w:lineRule="auto"/>
      <w:rPr>
        <w:sz w:val="20"/>
      </w:rPr>
    </w:pPr>
  </w:p>
  <w:p w14:paraId="794E3AAB" w14:textId="77777777" w:rsidR="00865E82" w:rsidRDefault="00865E82">
    <w:pPr>
      <w:pStyle w:val="a3"/>
      <w:spacing w:line="14" w:lineRule="auto"/>
      <w:rPr>
        <w:sz w:val="20"/>
      </w:rPr>
    </w:pPr>
  </w:p>
  <w:p w14:paraId="492DAFDA" w14:textId="77777777" w:rsidR="00865E82" w:rsidRDefault="00865E82">
    <w:pPr>
      <w:pStyle w:val="a3"/>
      <w:spacing w:line="14" w:lineRule="auto"/>
      <w:rPr>
        <w:sz w:val="20"/>
      </w:rPr>
    </w:pPr>
  </w:p>
  <w:p w14:paraId="78C0103D" w14:textId="77777777" w:rsidR="00865E82" w:rsidRDefault="00865E82">
    <w:pPr>
      <w:pStyle w:val="a3"/>
      <w:spacing w:line="14" w:lineRule="auto"/>
      <w:rPr>
        <w:sz w:val="20"/>
      </w:rPr>
    </w:pPr>
  </w:p>
  <w:p w14:paraId="7B3BF063" w14:textId="77777777" w:rsidR="00865E82" w:rsidRDefault="00865E82">
    <w:pPr>
      <w:pStyle w:val="a3"/>
      <w:spacing w:line="14" w:lineRule="auto"/>
      <w:rPr>
        <w:sz w:val="20"/>
      </w:rPr>
    </w:pPr>
  </w:p>
  <w:p w14:paraId="45820C76" w14:textId="77777777" w:rsidR="00865E82" w:rsidRDefault="00865E82">
    <w:pPr>
      <w:pStyle w:val="a3"/>
      <w:spacing w:line="14" w:lineRule="auto"/>
      <w:rPr>
        <w:sz w:val="20"/>
      </w:rPr>
    </w:pPr>
  </w:p>
  <w:p w14:paraId="2924E682" w14:textId="77777777" w:rsidR="00865E82" w:rsidRDefault="00865E82">
    <w:pPr>
      <w:pStyle w:val="a3"/>
      <w:spacing w:line="14" w:lineRule="auto"/>
      <w:rPr>
        <w:sz w:val="20"/>
      </w:rPr>
    </w:pPr>
  </w:p>
  <w:p w14:paraId="07ABC253" w14:textId="77777777" w:rsidR="00865E82" w:rsidRDefault="00865E82">
    <w:pPr>
      <w:pStyle w:val="a3"/>
      <w:spacing w:line="14" w:lineRule="auto"/>
      <w:rPr>
        <w:sz w:val="20"/>
      </w:rPr>
    </w:pPr>
  </w:p>
  <w:p w14:paraId="634AAD5C" w14:textId="77777777" w:rsidR="00865E82" w:rsidRDefault="00865E82">
    <w:pPr>
      <w:pStyle w:val="a3"/>
      <w:spacing w:line="14" w:lineRule="auto"/>
      <w:rPr>
        <w:sz w:val="20"/>
      </w:rPr>
    </w:pPr>
  </w:p>
  <w:p w14:paraId="42E9A000" w14:textId="77777777" w:rsidR="00865E82" w:rsidRDefault="00865E82">
    <w:pPr>
      <w:pStyle w:val="a3"/>
      <w:spacing w:line="14" w:lineRule="auto"/>
      <w:rPr>
        <w:sz w:val="20"/>
      </w:rPr>
    </w:pPr>
  </w:p>
  <w:p w14:paraId="17AC0A53" w14:textId="77777777" w:rsidR="00865E82" w:rsidRDefault="00865E82">
    <w:pPr>
      <w:pStyle w:val="a3"/>
      <w:spacing w:line="14" w:lineRule="auto"/>
      <w:rPr>
        <w:sz w:val="20"/>
      </w:rPr>
    </w:pPr>
  </w:p>
  <w:p w14:paraId="3E14E253" w14:textId="77777777" w:rsidR="00865E82" w:rsidRDefault="00865E82">
    <w:pPr>
      <w:pStyle w:val="a3"/>
      <w:spacing w:line="14" w:lineRule="auto"/>
      <w:rPr>
        <w:sz w:val="20"/>
      </w:rPr>
    </w:pPr>
  </w:p>
  <w:p w14:paraId="423B71A1" w14:textId="77777777" w:rsidR="00865E82" w:rsidRDefault="00865E82">
    <w:pPr>
      <w:pStyle w:val="a3"/>
      <w:spacing w:line="14" w:lineRule="auto"/>
      <w:rPr>
        <w:sz w:val="20"/>
      </w:rPr>
    </w:pPr>
  </w:p>
  <w:p w14:paraId="7D830168" w14:textId="77777777" w:rsidR="00865E82" w:rsidRDefault="00865E82">
    <w:pPr>
      <w:pStyle w:val="a3"/>
      <w:spacing w:line="14" w:lineRule="auto"/>
      <w:rPr>
        <w:sz w:val="20"/>
      </w:rPr>
    </w:pPr>
  </w:p>
  <w:p w14:paraId="25D9DD68" w14:textId="77777777" w:rsidR="00865E82" w:rsidRDefault="00865E82">
    <w:pPr>
      <w:pStyle w:val="a3"/>
      <w:spacing w:line="14" w:lineRule="auto"/>
      <w:rPr>
        <w:sz w:val="20"/>
      </w:rPr>
    </w:pPr>
  </w:p>
  <w:p w14:paraId="320FA48A" w14:textId="77777777" w:rsidR="00865E82" w:rsidRDefault="00865E82">
    <w:pPr>
      <w:pStyle w:val="a3"/>
      <w:spacing w:line="14" w:lineRule="auto"/>
      <w:rPr>
        <w:sz w:val="20"/>
      </w:rPr>
    </w:pPr>
  </w:p>
  <w:p w14:paraId="1D282018" w14:textId="77777777" w:rsidR="00865E82" w:rsidRDefault="00865E82">
    <w:pPr>
      <w:pStyle w:val="a3"/>
      <w:spacing w:line="14" w:lineRule="auto"/>
      <w:rPr>
        <w:sz w:val="20"/>
      </w:rPr>
    </w:pPr>
  </w:p>
  <w:p w14:paraId="27640A05" w14:textId="77777777" w:rsidR="00865E82" w:rsidRDefault="00865E82">
    <w:pPr>
      <w:pStyle w:val="a3"/>
      <w:spacing w:line="14" w:lineRule="auto"/>
      <w:rPr>
        <w:sz w:val="20"/>
      </w:rPr>
    </w:pPr>
  </w:p>
  <w:p w14:paraId="43E1185D" w14:textId="77777777" w:rsidR="00865E82" w:rsidRDefault="00865E82">
    <w:pPr>
      <w:pStyle w:val="a3"/>
      <w:spacing w:line="14" w:lineRule="auto"/>
      <w:rPr>
        <w:sz w:val="20"/>
      </w:rPr>
    </w:pPr>
  </w:p>
  <w:p w14:paraId="2D708A9E" w14:textId="77777777" w:rsidR="00865E82" w:rsidRDefault="00865E82">
    <w:pPr>
      <w:pStyle w:val="a3"/>
      <w:spacing w:line="14" w:lineRule="auto"/>
      <w:rPr>
        <w:sz w:val="20"/>
      </w:rPr>
    </w:pPr>
  </w:p>
  <w:p w14:paraId="51829947" w14:textId="77777777" w:rsidR="00865E82" w:rsidRDefault="00865E82">
    <w:pPr>
      <w:pStyle w:val="a3"/>
      <w:spacing w:line="14" w:lineRule="auto"/>
      <w:rPr>
        <w:sz w:val="20"/>
      </w:rPr>
    </w:pPr>
  </w:p>
  <w:p w14:paraId="1A3F1662" w14:textId="77777777" w:rsidR="00865E82" w:rsidRDefault="00865E82">
    <w:pPr>
      <w:pStyle w:val="a3"/>
      <w:spacing w:line="14" w:lineRule="auto"/>
      <w:rPr>
        <w:sz w:val="20"/>
      </w:rPr>
    </w:pPr>
  </w:p>
  <w:p w14:paraId="014A5C10" w14:textId="77777777" w:rsidR="00865E82" w:rsidRDefault="00865E82">
    <w:pPr>
      <w:pStyle w:val="a3"/>
      <w:spacing w:line="14" w:lineRule="auto"/>
      <w:rPr>
        <w:sz w:val="20"/>
      </w:rPr>
    </w:pPr>
  </w:p>
  <w:p w14:paraId="1CBA769B" w14:textId="77777777" w:rsidR="00865E82" w:rsidRDefault="00865E82">
    <w:pPr>
      <w:pStyle w:val="a3"/>
      <w:spacing w:line="14" w:lineRule="auto"/>
      <w:rPr>
        <w:sz w:val="20"/>
      </w:rPr>
    </w:pPr>
  </w:p>
  <w:p w14:paraId="3864D2E8" w14:textId="77777777" w:rsidR="00865E82" w:rsidRDefault="00865E82">
    <w:pPr>
      <w:pStyle w:val="a3"/>
      <w:spacing w:line="14" w:lineRule="auto"/>
      <w:rPr>
        <w:sz w:val="20"/>
      </w:rPr>
    </w:pPr>
  </w:p>
  <w:p w14:paraId="0EFBCEE9" w14:textId="77777777" w:rsidR="00865E82" w:rsidRDefault="00865E82">
    <w:pPr>
      <w:pStyle w:val="a3"/>
      <w:spacing w:line="14" w:lineRule="auto"/>
      <w:rPr>
        <w:sz w:val="20"/>
      </w:rPr>
    </w:pPr>
  </w:p>
  <w:p w14:paraId="6D3D7A7D" w14:textId="77777777" w:rsidR="00865E82" w:rsidRDefault="00865E82">
    <w:pPr>
      <w:pStyle w:val="a3"/>
      <w:spacing w:line="14" w:lineRule="auto"/>
      <w:rPr>
        <w:sz w:val="20"/>
      </w:rPr>
    </w:pPr>
  </w:p>
  <w:p w14:paraId="6A90EFF0" w14:textId="77777777" w:rsidR="00865E82" w:rsidRDefault="00865E82">
    <w:pPr>
      <w:pStyle w:val="a3"/>
      <w:spacing w:line="14" w:lineRule="auto"/>
      <w:rPr>
        <w:sz w:val="20"/>
      </w:rPr>
    </w:pPr>
  </w:p>
  <w:p w14:paraId="5551C4FE" w14:textId="77777777" w:rsidR="00865E82" w:rsidRDefault="00865E82">
    <w:pPr>
      <w:pStyle w:val="a3"/>
      <w:spacing w:line="14" w:lineRule="auto"/>
      <w:rPr>
        <w:sz w:val="20"/>
      </w:rPr>
    </w:pPr>
  </w:p>
  <w:p w14:paraId="3CFF3950" w14:textId="77777777" w:rsidR="00865E82" w:rsidRDefault="00865E82">
    <w:pPr>
      <w:pStyle w:val="a3"/>
      <w:spacing w:line="14" w:lineRule="auto"/>
      <w:rPr>
        <w:sz w:val="20"/>
      </w:rPr>
    </w:pPr>
  </w:p>
  <w:p w14:paraId="26468143" w14:textId="77777777" w:rsidR="00865E82" w:rsidRDefault="00865E82">
    <w:pPr>
      <w:pStyle w:val="a3"/>
      <w:spacing w:line="14" w:lineRule="auto"/>
      <w:rPr>
        <w:sz w:val="20"/>
      </w:rPr>
    </w:pPr>
  </w:p>
  <w:p w14:paraId="79D9C0F3" w14:textId="77777777" w:rsidR="00865E82" w:rsidRDefault="00865E82">
    <w:pPr>
      <w:pStyle w:val="a3"/>
      <w:spacing w:line="14" w:lineRule="auto"/>
      <w:rPr>
        <w:sz w:val="20"/>
      </w:rPr>
    </w:pPr>
  </w:p>
  <w:p w14:paraId="31CC33C6" w14:textId="77777777" w:rsidR="00865E82" w:rsidRDefault="00865E82">
    <w:pPr>
      <w:pStyle w:val="a3"/>
      <w:spacing w:line="14" w:lineRule="auto"/>
      <w:rPr>
        <w:sz w:val="20"/>
      </w:rPr>
    </w:pPr>
  </w:p>
  <w:p w14:paraId="01EAF266" w14:textId="77777777" w:rsidR="00865E82" w:rsidRDefault="00865E82">
    <w:pPr>
      <w:pStyle w:val="a3"/>
      <w:spacing w:line="14" w:lineRule="auto"/>
      <w:rPr>
        <w:sz w:val="20"/>
      </w:rPr>
    </w:pPr>
  </w:p>
  <w:p w14:paraId="2D61E0C3" w14:textId="77777777" w:rsidR="00865E82" w:rsidRDefault="00865E82">
    <w:pPr>
      <w:pStyle w:val="a3"/>
      <w:spacing w:line="14" w:lineRule="auto"/>
      <w:rPr>
        <w:sz w:val="20"/>
      </w:rPr>
    </w:pPr>
  </w:p>
  <w:p w14:paraId="1EF86B0A" w14:textId="77777777" w:rsidR="00865E82" w:rsidRDefault="00865E82">
    <w:pPr>
      <w:pStyle w:val="a3"/>
      <w:spacing w:line="14" w:lineRule="auto"/>
      <w:rPr>
        <w:sz w:val="20"/>
      </w:rPr>
    </w:pPr>
  </w:p>
  <w:p w14:paraId="3B2F3314" w14:textId="77777777" w:rsidR="00865E82" w:rsidRDefault="00865E82">
    <w:pPr>
      <w:pStyle w:val="a3"/>
      <w:spacing w:line="14" w:lineRule="auto"/>
      <w:rPr>
        <w:sz w:val="20"/>
      </w:rPr>
    </w:pPr>
  </w:p>
  <w:p w14:paraId="1CC754F1" w14:textId="77777777" w:rsidR="00865E82" w:rsidRDefault="00865E82">
    <w:pPr>
      <w:pStyle w:val="a3"/>
      <w:spacing w:line="14" w:lineRule="auto"/>
      <w:rPr>
        <w:sz w:val="20"/>
      </w:rPr>
    </w:pPr>
  </w:p>
  <w:p w14:paraId="261270C0" w14:textId="77777777" w:rsidR="00865E82" w:rsidRDefault="00865E82">
    <w:pPr>
      <w:pStyle w:val="a3"/>
      <w:spacing w:line="14" w:lineRule="auto"/>
      <w:rPr>
        <w:sz w:val="20"/>
      </w:rPr>
    </w:pPr>
  </w:p>
  <w:p w14:paraId="2C7C4F5E" w14:textId="77777777" w:rsidR="00865E82" w:rsidRDefault="00865E82">
    <w:pPr>
      <w:pStyle w:val="a3"/>
      <w:spacing w:line="14" w:lineRule="auto"/>
      <w:rPr>
        <w:sz w:val="20"/>
      </w:rPr>
    </w:pPr>
  </w:p>
  <w:p w14:paraId="37FD85EB" w14:textId="77777777" w:rsidR="00865E82" w:rsidRDefault="00865E82">
    <w:pPr>
      <w:pStyle w:val="a3"/>
      <w:spacing w:line="14" w:lineRule="auto"/>
      <w:rPr>
        <w:sz w:val="20"/>
      </w:rPr>
    </w:pPr>
  </w:p>
  <w:p w14:paraId="140747C3"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215"/>
    <w:rsid w:val="001553DE"/>
    <w:rsid w:val="001B0E71"/>
    <w:rsid w:val="0034520D"/>
    <w:rsid w:val="00453411"/>
    <w:rsid w:val="00642E00"/>
    <w:rsid w:val="006A5215"/>
    <w:rsid w:val="00851A6D"/>
    <w:rsid w:val="00865E82"/>
    <w:rsid w:val="009461C8"/>
    <w:rsid w:val="009C3642"/>
    <w:rsid w:val="00B17B8D"/>
    <w:rsid w:val="00B340E8"/>
    <w:rsid w:val="00B6793B"/>
    <w:rsid w:val="00B97C74"/>
    <w:rsid w:val="00BD4C58"/>
    <w:rsid w:val="00C0313E"/>
    <w:rsid w:val="00D56947"/>
    <w:rsid w:val="00DC5C05"/>
    <w:rsid w:val="00E243F2"/>
    <w:rsid w:val="00E73DA9"/>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374D1C"/>
  <w15:docId w15:val="{471246EC-5743-4712-8676-C945E998F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B0E71"/>
    <w:rPr>
      <w:rFonts w:ascii="Calibri" w:eastAsia="Calibri" w:hAnsi="Calibri" w:cs="Calibri"/>
      <w:lang w:val="el-GR"/>
    </w:rPr>
  </w:style>
  <w:style w:type="paragraph" w:styleId="1">
    <w:name w:val="heading 1"/>
    <w:basedOn w:val="a"/>
    <w:uiPriority w:val="1"/>
    <w:qFormat/>
    <w:rsid w:val="001B0E7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B0E71"/>
    <w:tblPr>
      <w:tblInd w:w="0" w:type="dxa"/>
      <w:tblCellMar>
        <w:top w:w="0" w:type="dxa"/>
        <w:left w:w="0" w:type="dxa"/>
        <w:bottom w:w="0" w:type="dxa"/>
        <w:right w:w="0" w:type="dxa"/>
      </w:tblCellMar>
    </w:tblPr>
  </w:style>
  <w:style w:type="paragraph" w:styleId="a3">
    <w:name w:val="Body Text"/>
    <w:basedOn w:val="a"/>
    <w:uiPriority w:val="1"/>
    <w:qFormat/>
    <w:rsid w:val="001B0E71"/>
    <w:rPr>
      <w:sz w:val="24"/>
      <w:szCs w:val="24"/>
    </w:rPr>
  </w:style>
  <w:style w:type="paragraph" w:styleId="a4">
    <w:name w:val="Title"/>
    <w:basedOn w:val="a"/>
    <w:uiPriority w:val="1"/>
    <w:qFormat/>
    <w:rsid w:val="001B0E71"/>
    <w:pPr>
      <w:spacing w:before="126"/>
      <w:ind w:left="1519" w:right="1359"/>
      <w:jc w:val="center"/>
    </w:pPr>
    <w:rPr>
      <w:b/>
      <w:bCs/>
      <w:sz w:val="48"/>
      <w:szCs w:val="48"/>
    </w:rPr>
  </w:style>
  <w:style w:type="paragraph" w:styleId="a5">
    <w:name w:val="List Paragraph"/>
    <w:basedOn w:val="a"/>
    <w:uiPriority w:val="1"/>
    <w:qFormat/>
    <w:rsid w:val="001B0E71"/>
    <w:pPr>
      <w:ind w:left="1080"/>
      <w:jc w:val="both"/>
    </w:pPr>
  </w:style>
  <w:style w:type="paragraph" w:customStyle="1" w:styleId="TableParagraph">
    <w:name w:val="Table Paragraph"/>
    <w:basedOn w:val="a"/>
    <w:uiPriority w:val="1"/>
    <w:qFormat/>
    <w:rsid w:val="001B0E7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4520D"/>
    <w:rPr>
      <w:rFonts w:ascii="Tahoma" w:hAnsi="Tahoma" w:cs="Tahoma"/>
      <w:sz w:val="16"/>
      <w:szCs w:val="16"/>
    </w:rPr>
  </w:style>
  <w:style w:type="character" w:customStyle="1" w:styleId="Char1">
    <w:name w:val="Κείμενο πλαισίου Char"/>
    <w:basedOn w:val="a0"/>
    <w:link w:val="a8"/>
    <w:uiPriority w:val="99"/>
    <w:semiHidden/>
    <w:rsid w:val="0034520D"/>
    <w:rPr>
      <w:rFonts w:ascii="Tahoma" w:eastAsia="Calibri" w:hAnsi="Tahoma" w:cs="Tahoma"/>
      <w:sz w:val="16"/>
      <w:szCs w:val="16"/>
      <w:lang w:val="el-GR"/>
    </w:rPr>
  </w:style>
  <w:style w:type="character" w:styleId="-">
    <w:name w:val="Hyperlink"/>
    <w:basedOn w:val="a0"/>
    <w:uiPriority w:val="99"/>
    <w:unhideWhenUsed/>
    <w:rsid w:val="00C0313E"/>
    <w:rPr>
      <w:color w:val="0000FF" w:themeColor="hyperlink"/>
      <w:u w:val="single"/>
    </w:rPr>
  </w:style>
  <w:style w:type="character" w:styleId="-0">
    <w:name w:val="FollowedHyperlink"/>
    <w:basedOn w:val="a0"/>
    <w:uiPriority w:val="99"/>
    <w:semiHidden/>
    <w:unhideWhenUsed/>
    <w:rsid w:val="00C031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oe.int/en/web/istanbul-convention/ho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1070</Words>
  <Characters>5779</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2</cp:revision>
  <dcterms:created xsi:type="dcterms:W3CDTF">2025-09-09T07:21:00Z</dcterms:created>
  <dcterms:modified xsi:type="dcterms:W3CDTF">2025-09-09T07:21:00Z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